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Jean-Marie Muller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Pr>
        <w:drawing>
          <wp:inline distB="114300" distT="114300" distL="114300" distR="114300">
            <wp:extent cx="3033713" cy="303371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033713" cy="30337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rtl w:val="0"/>
        </w:rPr>
        <w:t xml:space="preserve">Jean-Marie Muller </w:t>
      </w:r>
      <w:r w:rsidDel="00000000" w:rsidR="00000000" w:rsidRPr="00000000">
        <w:rPr>
          <w:rFonts w:ascii="Playfair Display" w:cs="Playfair Display" w:eastAsia="Playfair Display" w:hAnsi="Playfair Display"/>
          <w:sz w:val="24"/>
          <w:szCs w:val="24"/>
          <w:rtl w:val="0"/>
        </w:rPr>
        <w:t xml:space="preserve">est sans conteste </w:t>
      </w:r>
      <w:r w:rsidDel="00000000" w:rsidR="00000000" w:rsidRPr="00000000">
        <w:rPr>
          <w:rFonts w:ascii="Playfair Display" w:cs="Playfair Display" w:eastAsia="Playfair Display" w:hAnsi="Playfair Display"/>
          <w:sz w:val="24"/>
          <w:szCs w:val="24"/>
          <w:rtl w:val="0"/>
        </w:rPr>
        <w:t xml:space="preserve">un enseignant spirituel</w:t>
      </w:r>
      <w:r w:rsidDel="00000000" w:rsidR="00000000" w:rsidRPr="00000000">
        <w:rPr>
          <w:rFonts w:ascii="Playfair Display" w:cs="Playfair Display" w:eastAsia="Playfair Display" w:hAnsi="Playfair Display"/>
          <w:b w:val="1"/>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d’une nouvelle génération qui ne s’encombre pas de formules prémâchées.</w:t>
      </w:r>
    </w:p>
    <w:p w:rsidR="00000000" w:rsidDel="00000000" w:rsidP="00000000" w:rsidRDefault="00000000" w:rsidRPr="00000000" w14:paraId="00000006">
      <w:pPr>
        <w:shd w:fill="ffffff" w:val="clear"/>
        <w:spacing w:after="160" w:lineRule="auto"/>
        <w:contextualSpacing w:val="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Il ose librement remettre en question certains principes des courants de pensées actuels et passés. Médium, chamane et holothérapeute, il s’inscrit dans la lignée des grands channels de notre époque. Il est également reconnu pour son travail thérapeutique d’exception.</w:t>
      </w:r>
    </w:p>
    <w:p w:rsidR="00000000" w:rsidDel="00000000" w:rsidP="00000000" w:rsidRDefault="00000000" w:rsidRPr="00000000" w14:paraId="00000007">
      <w:pPr>
        <w:shd w:fill="ffffff" w:val="clear"/>
        <w:spacing w:after="160" w:lineRule="auto"/>
        <w:contextualSpacing w:val="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Sa capacité à nous accompagner jusqu’au cœur de l’être dénote un véritable amour dans l’aide qu’il apporte.</w:t>
      </w:r>
    </w:p>
    <w:p w:rsidR="00000000" w:rsidDel="00000000" w:rsidP="00000000" w:rsidRDefault="00000000" w:rsidRPr="00000000" w14:paraId="00000008">
      <w:pPr>
        <w:shd w:fill="ffffff" w:val="clear"/>
        <w:spacing w:after="160" w:lineRule="auto"/>
        <w:contextualSpacing w:val="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Il parcourt le monde depuis de nombreuses années pour partager des enseignements essentiels pour sortir de la maladie, de la souffrance, de l’hypnose collective et de l’hypocrisie générale. Présent, simple ainsi qu’authentique par le lien  qu’il crée avec nous, il est néanmoins un enseignant qui ébranle nos consciences.</w:t>
      </w:r>
    </w:p>
    <w:p w:rsidR="00000000" w:rsidDel="00000000" w:rsidP="00000000" w:rsidRDefault="00000000" w:rsidRPr="00000000" w14:paraId="00000009">
      <w:pPr>
        <w:shd w:fill="ffffff" w:val="clear"/>
        <w:spacing w:after="160" w:lineRule="auto"/>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Plus d’info sur: </w:t>
      </w:r>
      <w:hyperlink r:id="rId7">
        <w:r w:rsidDel="00000000" w:rsidR="00000000" w:rsidRPr="00000000">
          <w:rPr>
            <w:rFonts w:ascii="Playfair Display" w:cs="Playfair Display" w:eastAsia="Playfair Display" w:hAnsi="Playfair Display"/>
            <w:color w:val="1155cc"/>
            <w:u w:val="single"/>
            <w:rtl w:val="0"/>
          </w:rPr>
          <w:t xml:space="preserve">www.jeanmariemuller.ch</w:t>
        </w:r>
      </w:hyperlink>
      <w:r w:rsidDel="00000000" w:rsidR="00000000" w:rsidRPr="00000000">
        <w:rPr>
          <w:rFonts w:ascii="Playfair Display" w:cs="Playfair Display" w:eastAsia="Playfair Display" w:hAnsi="Playfair Display"/>
          <w:rtl w:val="0"/>
        </w:rPr>
        <w:t xml:space="preserve"> </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jeanmariemuller.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